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Rule="auto"/>
        <w:rPr/>
      </w:pPr>
      <w:bookmarkStart w:colFirst="0" w:colLast="0" w:name="_heading=h.9aa4uhgbohyu" w:id="0"/>
      <w:bookmarkEnd w:id="0"/>
      <w:r w:rsidDel="00000000" w:rsidR="00000000" w:rsidRPr="00000000">
        <w:rPr>
          <w:rFonts w:ascii="Calibri" w:cs="Calibri" w:eastAsia="Calibri" w:hAnsi="Calibri"/>
          <w:rtl w:val="0"/>
        </w:rPr>
        <w:t xml:space="preserve">VACATION</w:t>
      </w: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Nunavut Labour Standards Act</w:t>
      </w:r>
      <w:r w:rsidDel="00000000" w:rsidR="00000000" w:rsidRPr="00000000">
        <w:rPr>
          <w:rFonts w:ascii="Calibri" w:cs="Calibri" w:eastAsia="Calibri" w:hAnsi="Calibri"/>
          <w:highlight w:val="white"/>
          <w:rtl w:val="0"/>
        </w:rPr>
        <w:t xml:space="preserve">, at minimum. In the event that an employee’s employment contract provides a greater benefit, the employment contract shall take precedence.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tbl>
      <w:tblPr>
        <w:tblStyle w:val="Table1"/>
        <w:tblW w:w="7305.0" w:type="dxa"/>
        <w:jc w:val="left"/>
        <w:tblInd w:w="7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640"/>
        <w:gridCol w:w="2655"/>
        <w:tblGridChange w:id="0">
          <w:tblGrid>
            <w:gridCol w:w="2010"/>
            <w:gridCol w:w="2640"/>
            <w:gridCol w:w="2655"/>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b w:val="1"/>
              </w:rPr>
            </w:pPr>
            <w:r w:rsidDel="00000000" w:rsidR="00000000" w:rsidRPr="00000000">
              <w:rPr>
                <w:rFonts w:ascii="Calibri" w:cs="Calibri" w:eastAsia="Calibri" w:hAnsi="Calibri"/>
                <w:b w:val="1"/>
                <w:rtl w:val="0"/>
              </w:rPr>
              <w:t xml:space="preserve">YEARS OF SERVICE</w:t>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 1-5 Years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6 or More Years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Time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Two weeks (10 days)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Three weeks (15 days)</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Pay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4% gross wages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6% gross wages</w:t>
            </w:r>
          </w:p>
        </w:tc>
      </w:tr>
    </w:tbl>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Nunavut Labour Standards Act</w:t>
      </w:r>
      <w:r w:rsidDel="00000000" w:rsidR="00000000" w:rsidRPr="00000000">
        <w:rPr>
          <w:rFonts w:ascii="Calibri" w:cs="Calibri" w:eastAsia="Calibri" w:hAnsi="Calibri"/>
          <w:rtl w:val="0"/>
        </w:rPr>
        <w:t xml:space="preserve">,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six years of employment, and at least six per cent of the gross wages thereafter.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may be taken after it has been accrued in the previous 12-month vacation entitlement year. It must be taken within 10 months of being accrued.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An employee who does not complete either the full vacation entitlement year or the stub period (if any) does not qualify for 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under the </w:t>
      </w:r>
      <w:r w:rsidDel="00000000" w:rsidR="00000000" w:rsidRPr="00000000">
        <w:rPr>
          <w:rFonts w:ascii="Calibri" w:cs="Calibri" w:eastAsia="Calibri" w:hAnsi="Calibri"/>
          <w:i w:val="1"/>
          <w:rtl w:val="0"/>
        </w:rPr>
        <w:t xml:space="preserve">Nunavut Labour Standards Act</w:t>
      </w:r>
      <w:r w:rsidDel="00000000" w:rsidR="00000000" w:rsidRPr="00000000">
        <w:rPr>
          <w:rFonts w:ascii="Calibri" w:cs="Calibri" w:eastAsia="Calibri" w:hAnsi="Calibri"/>
          <w:rtl w:val="0"/>
        </w:rPr>
        <w:t xml:space="preserve">. However, employees earn vacation pay as they earn wages. Therefore, if an employee works even just one hour, they are still entitled to at least four per cent (or six per cent, depending on length of employment) of the hour's wages as vacation pay.</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Time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At [Organization Name], the vacation entitlement year begins the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and ends the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Vacation time may not be carried over into the following year and must be taken within 10 months of it having been accumulated. [Organization Name] reserves the right to schedule employee vacations in the event that the time needs to be used prior to the year’s end. While the organization will make every effort to keep an employee’s desired vacation time away, there may be occasions when employees will not receive their desired time.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Pay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Nunavut Labour Standards Act</w:t>
      </w:r>
      <w:r w:rsidDel="00000000" w:rsidR="00000000" w:rsidRPr="00000000">
        <w:rPr>
          <w:rFonts w:ascii="Calibri" w:cs="Calibri" w:eastAsia="Calibri" w:hAnsi="Calibri"/>
          <w:rtl w:val="0"/>
        </w:rPr>
        <w:t xml:space="preserve">, [Organization Name] will pay employees at the appropriate rate, at least one day before the beginning of the vacation or at an earlier prescribed time, the vacation pay to which the employee is entitled in respect of that vacation. A vacation pay agreement form may be requested.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Requests</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(Insert Timeframe, e.g., 2 weeks prior) in order to request vacation. Vacation requests will be granted according to (Insert method: e.g., first come, first served, or by seniority).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Termination of Employment</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In the event that employment is terminated prior to an employee taking their vacation time, it will be paid out to them on their final pay cheque along with any other owed amounts.</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RmYkp4pEmPdD9u2UshzefLSqcw==">CgMxLjAyDmguOWFhNHVoZ2JvaHl1OAByITFMQ1pPZHpJVGtjVTZyMmRUWjlKUW4wMHk3Um9mY0Z6cw==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